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DC" w:rsidRPr="00DB2ADC" w:rsidRDefault="00DB2ADC" w:rsidP="00DB2ADC">
      <w:pPr>
        <w:widowControl/>
        <w:spacing w:before="100" w:beforeAutospacing="1" w:after="100" w:afterAutospacing="1" w:line="375" w:lineRule="atLeast"/>
        <w:ind w:firstLine="420"/>
        <w:jc w:val="center"/>
        <w:rPr>
          <w:rFonts w:ascii="宋体" w:eastAsia="宋体" w:hAnsi="宋体" w:cs="宋体"/>
          <w:b/>
          <w:bCs/>
          <w:kern w:val="0"/>
          <w:sz w:val="36"/>
          <w:szCs w:val="36"/>
        </w:rPr>
      </w:pPr>
      <w:r w:rsidRPr="00DB2ADC">
        <w:rPr>
          <w:rFonts w:ascii="宋体" w:eastAsia="宋体" w:hAnsi="宋体" w:cs="宋体" w:hint="eastAsia"/>
          <w:b/>
          <w:bCs/>
          <w:kern w:val="0"/>
          <w:sz w:val="36"/>
          <w:szCs w:val="36"/>
        </w:rPr>
        <w:t>涉及恐怖活动资产冻结管理办法</w:t>
      </w:r>
    </w:p>
    <w:p w:rsidR="00DB2ADC" w:rsidRDefault="00DB2ADC"/>
    <w:p w:rsidR="00DB2ADC" w:rsidRPr="00DB2ADC" w:rsidRDefault="00DB2ADC" w:rsidP="00DB2ADC">
      <w:pPr>
        <w:widowControl/>
        <w:jc w:val="center"/>
        <w:outlineLvl w:val="1"/>
        <w:rPr>
          <w:rFonts w:ascii="宋体" w:eastAsia="宋体" w:hAnsi="宋体" w:cs="宋体"/>
          <w:kern w:val="0"/>
          <w:szCs w:val="21"/>
        </w:rPr>
      </w:pPr>
      <w:r w:rsidRPr="00DB2ADC">
        <w:rPr>
          <w:rFonts w:ascii="宋体" w:eastAsia="宋体" w:hAnsi="宋体" w:cs="宋体" w:hint="eastAsia"/>
          <w:kern w:val="0"/>
          <w:szCs w:val="21"/>
        </w:rPr>
        <w:t>中国人民银行 公安部 国家安全部令〔2014〕第1号</w:t>
      </w:r>
    </w:p>
    <w:p w:rsidR="00DB2ADC" w:rsidRDefault="00DB2ADC" w:rsidP="00DB2ADC"/>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根据《中华人民共和国反洗钱法》、《全国人大常委会关于加强反恐怖工作有关问题的决定》等法律，中国人民银行、公安部、国家安全部制定了《涉及恐怖活动资产冻结管理办法》，现予发布，自发布之日起施行。</w:t>
      </w:r>
    </w:p>
    <w:p w:rsidR="00DB2ADC" w:rsidRDefault="00DB2ADC" w:rsidP="00DB2ADC">
      <w:pPr>
        <w:widowControl/>
        <w:spacing w:before="100" w:beforeAutospacing="1" w:after="100" w:afterAutospacing="1" w:line="375" w:lineRule="atLeast"/>
        <w:ind w:firstLine="420"/>
        <w:jc w:val="right"/>
        <w:rPr>
          <w:rFonts w:ascii="宋体" w:eastAsia="宋体" w:hAnsi="宋体" w:cs="宋体"/>
          <w:kern w:val="0"/>
          <w:szCs w:val="21"/>
        </w:rPr>
      </w:pPr>
      <w:r>
        <w:rPr>
          <w:rFonts w:ascii="宋体" w:eastAsia="宋体" w:hAnsi="宋体" w:cs="宋体" w:hint="eastAsia"/>
          <w:kern w:val="0"/>
          <w:szCs w:val="21"/>
        </w:rPr>
        <w:t>中国人民银行 行长：周小川</w:t>
      </w:r>
    </w:p>
    <w:p w:rsidR="00DB2ADC" w:rsidRDefault="00DB2ADC" w:rsidP="00DB2ADC">
      <w:pPr>
        <w:widowControl/>
        <w:spacing w:before="100" w:beforeAutospacing="1" w:after="100" w:afterAutospacing="1" w:line="375" w:lineRule="atLeast"/>
        <w:ind w:firstLine="420"/>
        <w:jc w:val="right"/>
        <w:rPr>
          <w:rFonts w:ascii="宋体" w:eastAsia="宋体" w:hAnsi="宋体" w:cs="宋体"/>
          <w:kern w:val="0"/>
          <w:szCs w:val="21"/>
        </w:rPr>
      </w:pPr>
      <w:r>
        <w:rPr>
          <w:rFonts w:ascii="宋体" w:eastAsia="宋体" w:hAnsi="宋体" w:cs="宋体" w:hint="eastAsia"/>
          <w:kern w:val="0"/>
          <w:szCs w:val="21"/>
        </w:rPr>
        <w:t>公 安 部 部长：郭声琨</w:t>
      </w:r>
    </w:p>
    <w:p w:rsidR="00DB2ADC" w:rsidRDefault="00DB2ADC" w:rsidP="00DB2ADC">
      <w:pPr>
        <w:widowControl/>
        <w:spacing w:before="100" w:beforeAutospacing="1" w:after="100" w:afterAutospacing="1" w:line="375" w:lineRule="atLeast"/>
        <w:ind w:firstLine="420"/>
        <w:jc w:val="right"/>
        <w:rPr>
          <w:rFonts w:ascii="宋体" w:eastAsia="宋体" w:hAnsi="宋体" w:cs="宋体"/>
          <w:kern w:val="0"/>
          <w:szCs w:val="21"/>
        </w:rPr>
      </w:pPr>
      <w:r>
        <w:rPr>
          <w:rFonts w:ascii="宋体" w:eastAsia="宋体" w:hAnsi="宋体" w:cs="宋体" w:hint="eastAsia"/>
          <w:kern w:val="0"/>
          <w:szCs w:val="21"/>
        </w:rPr>
        <w:t>国家安全部 部长：耿惠昌</w:t>
      </w:r>
    </w:p>
    <w:p w:rsidR="00DB2ADC" w:rsidRDefault="00DB2ADC" w:rsidP="00DB2ADC">
      <w:pPr>
        <w:widowControl/>
        <w:spacing w:before="100" w:beforeAutospacing="1" w:after="100" w:afterAutospacing="1" w:line="375" w:lineRule="atLeast"/>
        <w:ind w:firstLine="420"/>
        <w:jc w:val="right"/>
        <w:rPr>
          <w:rFonts w:ascii="宋体" w:eastAsia="宋体" w:hAnsi="宋体" w:cs="宋体"/>
          <w:kern w:val="0"/>
          <w:szCs w:val="21"/>
        </w:rPr>
      </w:pPr>
      <w:r>
        <w:rPr>
          <w:rFonts w:ascii="宋体" w:eastAsia="宋体" w:hAnsi="宋体" w:cs="宋体" w:hint="eastAsia"/>
          <w:kern w:val="0"/>
          <w:szCs w:val="21"/>
        </w:rPr>
        <w:t>2014年1月10日</w:t>
      </w:r>
    </w:p>
    <w:p w:rsidR="00DB2ADC" w:rsidRDefault="00DB2ADC" w:rsidP="00DB2ADC">
      <w:pPr>
        <w:widowControl/>
        <w:spacing w:before="100" w:beforeAutospacing="1" w:after="100" w:afterAutospacing="1" w:line="375" w:lineRule="atLeast"/>
        <w:ind w:firstLine="420"/>
        <w:jc w:val="center"/>
        <w:rPr>
          <w:rFonts w:ascii="宋体" w:eastAsia="宋体" w:hAnsi="宋体" w:cs="宋体"/>
          <w:kern w:val="0"/>
          <w:szCs w:val="21"/>
        </w:rPr>
      </w:pPr>
      <w:r>
        <w:rPr>
          <w:rFonts w:ascii="宋体" w:eastAsia="宋体" w:hAnsi="宋体" w:cs="宋体" w:hint="eastAsia"/>
          <w:kern w:val="0"/>
          <w:szCs w:val="21"/>
        </w:rPr>
        <w:t>涉及恐怖活动资产冻结管理办法</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第一条 为规范涉及恐怖活动资产冻结的程序和行为，维护国家安全和社会公共利益，根据《中华人民共和国反洗钱法》、《全国人大常委会关于加强反恐怖工作有关问题的决定》等法律，制定本办法。</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第二条 本办法适用于在中华人民共和国境内依法设立的金融机构、特定非金融机构。</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第三条 金融机构、特定非金融机构应当严格按照公安部发布的恐怖活动组织及恐怖活动人员名单、冻结资产的决定，依法对相关资产采取冻结措施。</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第四条 金融机构、特定非金融机构应当制定冻结涉及恐怖活动资产的内部操作规程和控制措施，对分支机构和附属机构执行本办法的情况进行监督管理；指定专门机构或者人员关注并及时掌握恐怖活动组织及恐怖活动人员名单的变动情况；完善客户身份信息和交易信息管理，加强交易监测。</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第五条 金融机构、特定非金融机构发现恐怖活动组织及恐怖活动人员拥有或者控制的资产，应当立即采取冻结措施。</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对恐怖活动组织及恐怖活动人员与他人共同拥有或者控制的资产采取冻结措施，但该资产在采取冻结措施时无法分割或者确定份额的，金融机构、特定非金融机构应当一并采取冻结措施。</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lastRenderedPageBreak/>
        <w:t>对按照本办法第十一条的规定收取的款项或者受让的资产，金融机构、特定非金融机构应当采取冻结措施。</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第六条 金融机构、特定非金融机构采取冻结措施后，应当立即将资产数额、权属、位置、交易信息等情况以书面形式报告资产所在地县级公安机关和市、县国家安全机关，同时抄报资产所在地中国人民银行分支机构。地方公安机关和地方国家安全机关应当分别按照程序层报公安部和国家安全部。</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金融机构、特定非金融机构采取冻结措施后，除中国人民银行及其分支机构、公安机关、国家安全机关另有要求外，应当及时告知客户，并说明采取冻结措施的依据和理由。</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第七条 金融机构、特定非金融机构及其工作人员应当依法协助、配合公安机关和国家安全机关的调查、侦查，提供与恐怖活动组织及恐怖活动人员有关的信息、数据以及相关资产情况。</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金融机构及其工作人员应当依法协助、配合中国人民银行及其省会（首府）城市中心支行以上分支机构的反洗钱调查，提供涉及恐怖活动组织及恐怖活动人员资产的情况。</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第八条 金融机构、特定非金融机构及其工作人员对与采取冻结措施有关的工作信息应当保密，不得违反规定向任何单位及个人提供和透露，不得在采取冻结措施前通知资产的所有人、控制人或者管理人。</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第九条 金融机构、特定非金融机构有合理理由怀疑客户或者其交易对手、相关资产涉及恐怖活动组织及恐怖活动人员的，应当根据中国人民银行的规定报告可疑交易，并依法向公安机关、国家安全机关报告。</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第十条 金融机构、特定非金融机构不得擅自解除冻结措施。</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符合下列情形之一的，金融机构、特定非金融机构应当立即解除冻结措施，并按照本办法第六条的规定履行报告程序：</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（一）公安部公布的恐怖活动组织及恐怖活动人员名单有调整，不再需要采取冻结措施的；</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（二）公安部或者国家安全部发现金融机构、特定非金融机构采取冻结措施有错误并书面通知的；</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（三）公安机关或者国家安全机关依法调查、侦查恐怖活动，对有关资产的处理另有要求并书面通知的；</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lastRenderedPageBreak/>
        <w:t>（四）人民法院做出的生效裁决对有关资产的处理有明确要求的；</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（五）法律、行政法规规定的其他情形。</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第十一条 涉及恐怖活动的资产被采取冻结措施期间，符合以下情形之一的，有关账户可以进行款项收取或者资产受让：</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（一）收取被采取冻结措施的资产产生的</w:t>
      </w:r>
      <w:proofErr w:type="gramStart"/>
      <w:r>
        <w:rPr>
          <w:rFonts w:ascii="宋体" w:eastAsia="宋体" w:hAnsi="宋体" w:cs="宋体" w:hint="eastAsia"/>
          <w:kern w:val="0"/>
          <w:szCs w:val="21"/>
        </w:rPr>
        <w:t>孳</w:t>
      </w:r>
      <w:proofErr w:type="gramEnd"/>
      <w:r>
        <w:rPr>
          <w:rFonts w:ascii="宋体" w:eastAsia="宋体" w:hAnsi="宋体" w:cs="宋体" w:hint="eastAsia"/>
          <w:kern w:val="0"/>
          <w:szCs w:val="21"/>
        </w:rPr>
        <w:t>息以及其他收益；</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（二）受偿债权；</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（三）为不影响正常的证券、期货交易秩序，执行恐怖活动组织及恐怖活动人员名单公布前生效的交易指令。</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第十二条 因基本生活支出以及其他特殊原因需要使用被采取冻结措施的资产的，资产所有人、控制人或者管理人可以向资产所在地县级公安机关提出申请。</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受理申请的公安机关应当按照程序层报公安部审核。公安部在收到申请之日起30日内进行审查处理；审查核准的，应当要求相关金融机构、特定非金融机构按照指定用途、金额、方式等处理有关资产。</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第十三条 金融机构、特定非金融机构对根据本办法被采取冻结措施的资产的管理及处置，应当按照中国人民银行、中国银行业监督管理委员会、中国证券监督管理委员会、中国保险监督管理委员会的相关规定执行；没有规定的，参照公安机关、国家安全机关、检察机关的相关规定执行。</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第十四条 资产所有人、控制人或者管理人对金融机构、特定非金融机构采取的冻结措施有异议的，可以向资产所在地县级公安机关提出异议。</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受理异议的公安机关应当按照程序层报公安部。公安部在收到异议申请之日起30日内</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审查决定，并书面通知异议人；确属错误冻结的，应当决定解除冻结措施。</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第十五条 境外有关部门以涉及恐怖活动为由，要求境内金融机构、特定非金融机构冻结相关资产、提供客户身份信息及交易信息的，金融机构、特定非金融机构应当告知对方通过外交途径或者司法协助途径提出请求；不得擅自采取冻结措施，不得擅自提供客户身份信息及交易信息。</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第十六条 金融机构、特定非金融机构的境外分支机构和附属机构按照驻在国家（地区）法律规定和监管要求，对涉及恐怖活动的资产采取冻结措施的，应当将相关情况及时报告金融机构、特定非金融机构总部。</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lastRenderedPageBreak/>
        <w:t>金融机构、特定非金融机构总部收到报告后，应当及时将相关情况报告总部所在地公安机关和国家安全机关，同时抄报总部所在地中国人民银行分支机构。地方公安机关和地方国家安全机关应当分别按照程序层报公安部和国家安全部。</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第十七条 中国人民银行及其分支机构对金融机构执行本办法的情况进行监督、检查。</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对特定非金融机构执行本办法的情况进行监督、检查的具体办法，由中国人民银行会同国务院有关部门另行制定。</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第十八条 中国人民银行及其分支机构、公安机关、国家安全机关工作人员违反规定，泄露工作秘密导致有关资产被非法转移、隐匿，冻结措施错误造成其他财产损失的，依照有关规定给予处分；涉嫌构成犯罪的，移送司法机关依法追究刑事责任。</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第十九条 金融机构及其工作人员违反本办法的，由中国人民银行及其地市中心支行以上分支机构按照《中华人民共和国反洗钱法》第三十一条、第三十二条以及中国人民银行有关规定处罚；涉嫌构成犯罪的，移送司法机关依法追究刑事责任。</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第二十条 本办法所称金融机构、特定非金融机构，是指依据《中华人民共和国反洗钱法》等法律法规规定，应当履行反洗</w:t>
      </w:r>
      <w:proofErr w:type="gramStart"/>
      <w:r>
        <w:rPr>
          <w:rFonts w:ascii="宋体" w:eastAsia="宋体" w:hAnsi="宋体" w:cs="宋体" w:hint="eastAsia"/>
          <w:kern w:val="0"/>
          <w:szCs w:val="21"/>
        </w:rPr>
        <w:t>钱义务</w:t>
      </w:r>
      <w:proofErr w:type="gramEnd"/>
      <w:r>
        <w:rPr>
          <w:rFonts w:ascii="宋体" w:eastAsia="宋体" w:hAnsi="宋体" w:cs="宋体" w:hint="eastAsia"/>
          <w:kern w:val="0"/>
          <w:szCs w:val="21"/>
        </w:rPr>
        <w:t>的机构。依据《非金融机构支付服务管理办法》（中国人民银行令〔2010〕第2号发布）取得《支付业务许可证》的支付机构适用本办法关于金融机构的规定。</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本办法所称冻结措施，是指金融机构、特定非金融机构为防止其持有、管理或者控制的有关资产被转移、转换、处置而采取必要措施，包括但不限于：终止金融交易；拒绝资产的提取、转移、转换；停止金融账户的开立、变更、撤销和使用。</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本办法所称资产包括但不限于：银行存款、汇款、旅行支票、银行支票、邮政汇票、保单、提单、仓单、股票、债券、汇票和信用证，房屋、车辆、船舶、货物，其他以电子或者数字形式证明资产所有权、其他权益的法律文件、证书等。</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第二十一条 本办法由中国人民银行会同公安部、国家安全部解释。</w:t>
      </w:r>
    </w:p>
    <w:p w:rsidR="00DB2ADC" w:rsidRDefault="00DB2ADC" w:rsidP="00DB2ADC">
      <w:pPr>
        <w:widowControl/>
        <w:spacing w:before="100" w:beforeAutospacing="1" w:after="100" w:afterAutospacing="1" w:line="375" w:lineRule="atLeast"/>
        <w:ind w:firstLine="420"/>
        <w:jc w:val="left"/>
        <w:rPr>
          <w:rFonts w:ascii="宋体" w:eastAsia="宋体" w:hAnsi="宋体" w:cs="宋体"/>
          <w:kern w:val="0"/>
          <w:szCs w:val="21"/>
        </w:rPr>
      </w:pPr>
      <w:r>
        <w:rPr>
          <w:rFonts w:ascii="宋体" w:eastAsia="宋体" w:hAnsi="宋体" w:cs="宋体" w:hint="eastAsia"/>
          <w:kern w:val="0"/>
          <w:szCs w:val="21"/>
        </w:rPr>
        <w:t>第二十二条 本办法自发布之日起施行。</w:t>
      </w:r>
    </w:p>
    <w:p w:rsidR="00DB2ADC" w:rsidRPr="00DB2ADC" w:rsidRDefault="00DB2ADC"/>
    <w:sectPr w:rsidR="00DB2ADC" w:rsidRPr="00DB2ADC" w:rsidSect="008328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2ADC"/>
    <w:rsid w:val="00563C48"/>
    <w:rsid w:val="0083283A"/>
    <w:rsid w:val="00A95E76"/>
    <w:rsid w:val="00DB2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4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cxchen</dc:creator>
  <cp:lastModifiedBy>jxchen</cp:lastModifiedBy>
  <cp:revision>2</cp:revision>
  <dcterms:created xsi:type="dcterms:W3CDTF">2014-07-21T07:38:00Z</dcterms:created>
  <dcterms:modified xsi:type="dcterms:W3CDTF">2014-07-21T07:38:00Z</dcterms:modified>
</cp:coreProperties>
</file>